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71" w:rsidRDefault="00A60A28" w:rsidP="00B97F71">
      <w:pPr>
        <w:jc w:val="center"/>
        <w:rPr>
          <w:rFonts w:ascii="Garamond" w:hAnsi="Garamond"/>
          <w:b/>
          <w:sz w:val="32"/>
          <w:szCs w:val="32"/>
        </w:rPr>
      </w:pPr>
      <w:r>
        <w:rPr>
          <w:rFonts w:ascii="Garamond" w:hAnsi="Garamond"/>
          <w:b/>
          <w:sz w:val="32"/>
          <w:szCs w:val="32"/>
        </w:rPr>
        <w:t xml:space="preserve">VID aicina </w:t>
      </w:r>
      <w:r w:rsidR="00B97F71">
        <w:rPr>
          <w:rFonts w:ascii="Garamond" w:hAnsi="Garamond"/>
          <w:b/>
          <w:sz w:val="32"/>
          <w:szCs w:val="32"/>
        </w:rPr>
        <w:t>valsts</w:t>
      </w:r>
      <w:r>
        <w:rPr>
          <w:rFonts w:ascii="Garamond" w:hAnsi="Garamond"/>
          <w:b/>
          <w:sz w:val="32"/>
          <w:szCs w:val="32"/>
        </w:rPr>
        <w:t xml:space="preserve"> iestāžu</w:t>
      </w:r>
      <w:r w:rsidR="00B97F71">
        <w:rPr>
          <w:rFonts w:ascii="Garamond" w:hAnsi="Garamond"/>
          <w:b/>
          <w:sz w:val="32"/>
          <w:szCs w:val="32"/>
        </w:rPr>
        <w:t xml:space="preserve"> amatperson</w:t>
      </w:r>
      <w:r w:rsidR="00C84005">
        <w:rPr>
          <w:rFonts w:ascii="Garamond" w:hAnsi="Garamond"/>
          <w:b/>
          <w:sz w:val="32"/>
          <w:szCs w:val="32"/>
        </w:rPr>
        <w:t>as</w:t>
      </w:r>
      <w:r w:rsidR="00B97F71">
        <w:rPr>
          <w:rFonts w:ascii="Garamond" w:hAnsi="Garamond"/>
          <w:b/>
          <w:sz w:val="32"/>
          <w:szCs w:val="32"/>
        </w:rPr>
        <w:t xml:space="preserve"> </w:t>
      </w:r>
      <w:r>
        <w:rPr>
          <w:rFonts w:ascii="Garamond" w:hAnsi="Garamond"/>
          <w:b/>
          <w:sz w:val="32"/>
          <w:szCs w:val="32"/>
        </w:rPr>
        <w:t xml:space="preserve">un darbiniekus </w:t>
      </w:r>
      <w:r w:rsidR="00C84005">
        <w:rPr>
          <w:rFonts w:ascii="Garamond" w:hAnsi="Garamond"/>
          <w:b/>
          <w:sz w:val="32"/>
          <w:szCs w:val="32"/>
        </w:rPr>
        <w:t>i</w:t>
      </w:r>
      <w:r w:rsidR="00B97F71">
        <w:rPr>
          <w:rFonts w:ascii="Garamond" w:hAnsi="Garamond"/>
          <w:b/>
          <w:sz w:val="32"/>
          <w:szCs w:val="32"/>
        </w:rPr>
        <w:t>zmantot Elektroniskās deklarēšanas sistēm</w:t>
      </w:r>
      <w:r w:rsidR="00C84005">
        <w:rPr>
          <w:rFonts w:ascii="Garamond" w:hAnsi="Garamond"/>
          <w:b/>
          <w:sz w:val="32"/>
          <w:szCs w:val="32"/>
        </w:rPr>
        <w:t xml:space="preserve">as </w:t>
      </w:r>
      <w:r>
        <w:rPr>
          <w:rFonts w:ascii="Garamond" w:hAnsi="Garamond"/>
          <w:b/>
          <w:sz w:val="32"/>
          <w:szCs w:val="32"/>
        </w:rPr>
        <w:t>priekšrocības</w:t>
      </w:r>
      <w:r w:rsidR="00C84005">
        <w:rPr>
          <w:rFonts w:ascii="Garamond" w:hAnsi="Garamond"/>
          <w:b/>
          <w:sz w:val="32"/>
          <w:szCs w:val="32"/>
        </w:rPr>
        <w:t xml:space="preserve">! </w:t>
      </w:r>
    </w:p>
    <w:p w:rsidR="00B97F71" w:rsidRDefault="00B97F71" w:rsidP="00B97F71">
      <w:pPr>
        <w:jc w:val="center"/>
        <w:rPr>
          <w:rFonts w:ascii="Garamond" w:hAnsi="Garamond"/>
          <w:b/>
          <w:sz w:val="32"/>
          <w:szCs w:val="32"/>
        </w:rPr>
      </w:pPr>
    </w:p>
    <w:p w:rsidR="008B4B41" w:rsidRDefault="00461F39" w:rsidP="00B97F71">
      <w:pPr>
        <w:ind w:firstLine="720"/>
        <w:jc w:val="both"/>
        <w:rPr>
          <w:rFonts w:ascii="Garamond" w:hAnsi="Garamond"/>
          <w:b/>
          <w:sz w:val="26"/>
          <w:szCs w:val="26"/>
        </w:rPr>
      </w:pPr>
      <w:r>
        <w:rPr>
          <w:rFonts w:ascii="Garamond" w:hAnsi="Garamond"/>
          <w:b/>
          <w:sz w:val="26"/>
          <w:szCs w:val="26"/>
        </w:rPr>
        <w:t xml:space="preserve">Atgādinām, ka laika posmā no 2014.gada 15.februāra līdz 2014.gada 1.aprīlim (ieskaitot) valsts amatpersonām ir jāiesniedz kārtējās valsts amatpersonu deklarācijas par 2013.gadu. Minētās deklarācijas ir jāiesniedz elektroniski, izmantojot VID Elektroniskās deklarēšanas sistēmu (EDS). Ņemot vērā, ka visas valsts amatpersonas ir EDS lietotāji, aicinām arī citas nodokļu un informatīvās deklarācijas iesniegt elektroniski, izmantojot EDS. Savukārt </w:t>
      </w:r>
      <w:r w:rsidR="008B4B41">
        <w:rPr>
          <w:rFonts w:ascii="Garamond" w:hAnsi="Garamond"/>
          <w:b/>
          <w:sz w:val="26"/>
          <w:szCs w:val="26"/>
        </w:rPr>
        <w:t>valsts iestāžu darbiniekus, kuri vēl nav EDS lietotāji, VID aicina noslēgt līgumu par EDS lietošanu un izmantot sistēmas piedāvātās iespējas un priekšrocības</w:t>
      </w:r>
      <w:r>
        <w:rPr>
          <w:rFonts w:ascii="Garamond" w:hAnsi="Garamond"/>
          <w:b/>
          <w:sz w:val="26"/>
          <w:szCs w:val="26"/>
        </w:rPr>
        <w:t>.</w:t>
      </w:r>
    </w:p>
    <w:p w:rsidR="008B4B41" w:rsidRDefault="008B4B41" w:rsidP="00B97F71">
      <w:pPr>
        <w:ind w:firstLine="720"/>
        <w:jc w:val="both"/>
        <w:rPr>
          <w:rFonts w:ascii="Garamond" w:hAnsi="Garamond"/>
          <w:b/>
          <w:sz w:val="26"/>
          <w:szCs w:val="26"/>
        </w:rPr>
      </w:pPr>
    </w:p>
    <w:p w:rsidR="00F16090" w:rsidRPr="00461F39" w:rsidRDefault="00F16090" w:rsidP="00F16090">
      <w:pPr>
        <w:pStyle w:val="Pamattekstsaratkpi"/>
        <w:spacing w:after="0"/>
        <w:ind w:left="0" w:firstLine="720"/>
        <w:jc w:val="both"/>
        <w:rPr>
          <w:rFonts w:ascii="Garamond" w:hAnsi="Garamond"/>
          <w:sz w:val="26"/>
          <w:szCs w:val="26"/>
        </w:rPr>
      </w:pPr>
      <w:r w:rsidRPr="00461F39">
        <w:rPr>
          <w:rFonts w:ascii="Garamond" w:hAnsi="Garamond"/>
          <w:b/>
          <w:sz w:val="26"/>
          <w:szCs w:val="26"/>
        </w:rPr>
        <w:t xml:space="preserve">Lai pieteiktu </w:t>
      </w:r>
      <w:hyperlink r:id="rId5" w:history="1">
        <w:r w:rsidRPr="00461F39">
          <w:rPr>
            <w:rStyle w:val="Hipersaite"/>
            <w:rFonts w:ascii="Garamond" w:hAnsi="Garamond"/>
            <w:b/>
            <w:sz w:val="26"/>
            <w:szCs w:val="26"/>
          </w:rPr>
          <w:t>EDS līguma</w:t>
        </w:r>
      </w:hyperlink>
      <w:r w:rsidRPr="00461F39">
        <w:rPr>
          <w:rFonts w:ascii="Garamond" w:hAnsi="Garamond"/>
          <w:b/>
          <w:sz w:val="26"/>
          <w:szCs w:val="26"/>
        </w:rPr>
        <w:t xml:space="preserve"> parakstīšanu noteiktā VID klientu apkalpošanas centrā un laikā, ir tikai jāpiezvana uz sev ērtāko </w:t>
      </w:r>
      <w:hyperlink r:id="rId6" w:history="1">
        <w:r w:rsidRPr="00461F39">
          <w:rPr>
            <w:rStyle w:val="Hipersaite"/>
            <w:rFonts w:ascii="Garamond" w:hAnsi="Garamond"/>
            <w:b/>
            <w:sz w:val="26"/>
            <w:szCs w:val="26"/>
          </w:rPr>
          <w:t>klientu apkalpošanas centru</w:t>
        </w:r>
      </w:hyperlink>
      <w:r w:rsidRPr="00461F39">
        <w:rPr>
          <w:rFonts w:ascii="Garamond" w:hAnsi="Garamond"/>
          <w:b/>
          <w:sz w:val="26"/>
          <w:szCs w:val="26"/>
        </w:rPr>
        <w:t xml:space="preserve"> un jāvienojas ar konsultantu par piemērotāko līguma parakstīšanas datumu un laiku. </w:t>
      </w:r>
      <w:r w:rsidRPr="00461F39">
        <w:rPr>
          <w:rFonts w:ascii="Garamond" w:hAnsi="Garamond"/>
          <w:sz w:val="26"/>
          <w:szCs w:val="26"/>
        </w:rPr>
        <w:t xml:space="preserve">Norunātajā laikā atnākot uz VID klientu apkalpošanas centru, varēs doties pie konkrēta konsultanta un parakstīt jau iepriekš sagatavotu EDS līgumu. Nepieciešamības gadījumā konsultants arī parādīs, kā praktiski darboties ar EDS. </w:t>
      </w:r>
    </w:p>
    <w:p w:rsidR="008B4B41" w:rsidRDefault="00C84005" w:rsidP="00C84005">
      <w:pPr>
        <w:ind w:firstLine="720"/>
        <w:jc w:val="both"/>
        <w:rPr>
          <w:rFonts w:ascii="Garamond" w:hAnsi="Garamond"/>
          <w:sz w:val="26"/>
          <w:szCs w:val="26"/>
        </w:rPr>
      </w:pPr>
      <w:r w:rsidRPr="00C84005">
        <w:rPr>
          <w:rFonts w:ascii="Garamond" w:hAnsi="Garamond"/>
          <w:sz w:val="26"/>
          <w:szCs w:val="26"/>
        </w:rPr>
        <w:t>Jau</w:t>
      </w:r>
      <w:r>
        <w:rPr>
          <w:rFonts w:ascii="Garamond" w:hAnsi="Garamond"/>
          <w:sz w:val="26"/>
          <w:szCs w:val="26"/>
        </w:rPr>
        <w:t xml:space="preserve"> no</w:t>
      </w:r>
      <w:r w:rsidRPr="00C84005">
        <w:rPr>
          <w:rFonts w:ascii="Garamond" w:hAnsi="Garamond"/>
          <w:sz w:val="26"/>
          <w:szCs w:val="26"/>
        </w:rPr>
        <w:t xml:space="preserve"> </w:t>
      </w:r>
      <w:r>
        <w:rPr>
          <w:rFonts w:ascii="Garamond" w:hAnsi="Garamond"/>
          <w:sz w:val="26"/>
          <w:szCs w:val="26"/>
        </w:rPr>
        <w:t>šī gada 3.marta</w:t>
      </w:r>
      <w:r w:rsidRPr="00C84005">
        <w:rPr>
          <w:rFonts w:ascii="Garamond" w:hAnsi="Garamond"/>
          <w:sz w:val="26"/>
          <w:szCs w:val="26"/>
        </w:rPr>
        <w:t xml:space="preserve"> būs iespējams iesniegt </w:t>
      </w:r>
      <w:hyperlink r:id="rId7" w:history="1">
        <w:r w:rsidRPr="00C9191B">
          <w:rPr>
            <w:rStyle w:val="Hipersaite"/>
            <w:rFonts w:ascii="Garamond" w:hAnsi="Garamond"/>
            <w:sz w:val="26"/>
            <w:szCs w:val="26"/>
          </w:rPr>
          <w:t>gada ienākumu deklarāciju</w:t>
        </w:r>
      </w:hyperlink>
      <w:r w:rsidR="008B4B41" w:rsidRPr="00674B77">
        <w:rPr>
          <w:rStyle w:val="Hipersaite"/>
          <w:rFonts w:ascii="Garamond" w:hAnsi="Garamond"/>
          <w:sz w:val="26"/>
          <w:szCs w:val="26"/>
          <w:u w:val="none"/>
        </w:rPr>
        <w:t xml:space="preserve">, </w:t>
      </w:r>
      <w:r w:rsidR="008B4B41" w:rsidRPr="00674B77">
        <w:rPr>
          <w:rStyle w:val="Hipersaite"/>
          <w:rFonts w:ascii="Garamond" w:hAnsi="Garamond"/>
          <w:color w:val="auto"/>
          <w:sz w:val="26"/>
          <w:szCs w:val="26"/>
          <w:u w:val="none"/>
        </w:rPr>
        <w:t>lai</w:t>
      </w:r>
      <w:r w:rsidR="008B4B41" w:rsidRPr="008B4B41">
        <w:rPr>
          <w:rStyle w:val="Hipersaite"/>
          <w:rFonts w:ascii="Garamond" w:hAnsi="Garamond"/>
          <w:sz w:val="26"/>
          <w:szCs w:val="26"/>
          <w:u w:val="none"/>
        </w:rPr>
        <w:t xml:space="preserve"> </w:t>
      </w:r>
      <w:r w:rsidRPr="008B4B41">
        <w:rPr>
          <w:rFonts w:ascii="Garamond" w:hAnsi="Garamond"/>
          <w:sz w:val="26"/>
          <w:szCs w:val="26"/>
        </w:rPr>
        <w:t>saņemt</w:t>
      </w:r>
      <w:r w:rsidR="008B4B41" w:rsidRPr="008B4B41">
        <w:rPr>
          <w:rFonts w:ascii="Garamond" w:hAnsi="Garamond"/>
          <w:sz w:val="26"/>
          <w:szCs w:val="26"/>
        </w:rPr>
        <w:t>u</w:t>
      </w:r>
      <w:r w:rsidRPr="00C84005">
        <w:rPr>
          <w:rFonts w:ascii="Garamond" w:hAnsi="Garamond"/>
          <w:sz w:val="26"/>
          <w:szCs w:val="26"/>
        </w:rPr>
        <w:t xml:space="preserve"> iedzīvotāju ienākuma nodokļa </w:t>
      </w:r>
      <w:r>
        <w:rPr>
          <w:rFonts w:ascii="Garamond" w:hAnsi="Garamond"/>
          <w:sz w:val="26"/>
          <w:szCs w:val="26"/>
        </w:rPr>
        <w:t xml:space="preserve">pārmaksas </w:t>
      </w:r>
      <w:r w:rsidRPr="00C84005">
        <w:rPr>
          <w:rFonts w:ascii="Garamond" w:hAnsi="Garamond"/>
          <w:sz w:val="26"/>
          <w:szCs w:val="26"/>
        </w:rPr>
        <w:t xml:space="preserve">atmaksu par ārstniecības, izglītības un citiem  attaisnotajiem izdevumiem. </w:t>
      </w:r>
    </w:p>
    <w:p w:rsidR="00C84005" w:rsidRPr="00C84005" w:rsidRDefault="008B4B41" w:rsidP="00C84005">
      <w:pPr>
        <w:ind w:firstLine="720"/>
        <w:jc w:val="both"/>
        <w:rPr>
          <w:rFonts w:ascii="Garamond" w:hAnsi="Garamond"/>
          <w:sz w:val="26"/>
          <w:szCs w:val="26"/>
        </w:rPr>
      </w:pPr>
      <w:r>
        <w:rPr>
          <w:rFonts w:ascii="Garamond" w:hAnsi="Garamond"/>
          <w:sz w:val="26"/>
          <w:szCs w:val="26"/>
        </w:rPr>
        <w:t>I</w:t>
      </w:r>
      <w:r w:rsidR="00C84005" w:rsidRPr="00C84005">
        <w:rPr>
          <w:rFonts w:ascii="Garamond" w:hAnsi="Garamond"/>
          <w:sz w:val="26"/>
          <w:szCs w:val="26"/>
        </w:rPr>
        <w:t xml:space="preserve">esniedzot </w:t>
      </w:r>
      <w:r>
        <w:rPr>
          <w:rFonts w:ascii="Garamond" w:hAnsi="Garamond"/>
          <w:sz w:val="26"/>
          <w:szCs w:val="26"/>
        </w:rPr>
        <w:t>minēto d</w:t>
      </w:r>
      <w:r w:rsidR="00C84005" w:rsidRPr="00C84005">
        <w:rPr>
          <w:rFonts w:ascii="Garamond" w:hAnsi="Garamond"/>
          <w:sz w:val="26"/>
          <w:szCs w:val="26"/>
        </w:rPr>
        <w:t xml:space="preserve">eklarāciju elektroniski, tajā automātiski tiek atspoguļota visa VID rīcībā esošā informācija par nodokļu maksātāju: gūtie ienākumi, neapliekamie ienākumi, informācija no kredītiestādēm par iemaksām pensiju fondos un no apdrošināšanas sabiedrībām par iemaksām par dzīvības apdrošināšanas pakalpojumiem, kā arī no iepriekšējiem gadiem pārnestie attaisnotie izdevumi par izglītību un ārstnieciskajiem pakalpojumiem. </w:t>
      </w:r>
    </w:p>
    <w:p w:rsidR="008B4B41" w:rsidRDefault="00C84005" w:rsidP="00C84005">
      <w:pPr>
        <w:ind w:firstLine="720"/>
        <w:jc w:val="both"/>
        <w:rPr>
          <w:rFonts w:ascii="Garamond" w:hAnsi="Garamond"/>
          <w:sz w:val="26"/>
          <w:szCs w:val="26"/>
        </w:rPr>
      </w:pPr>
      <w:r w:rsidRPr="00C84005">
        <w:rPr>
          <w:rFonts w:ascii="Garamond" w:hAnsi="Garamond"/>
          <w:sz w:val="26"/>
          <w:szCs w:val="26"/>
        </w:rPr>
        <w:t>Tādējādi, lai saņemtu pārmaksāto iedzīvotāju ienākuma nodokli, attiecīgajā deklarācijas pielikumā (D 4) jānorāda tikai summa, kas iztērēta par ārstniecības, zobārstniecības vai izglītības pakalpojumiem, kā arī jāpievieno deklarācijai attaisnojuma dokumenti (čeki vai stingrās uzskaites kvītis)</w:t>
      </w:r>
      <w:r w:rsidR="00461F39">
        <w:rPr>
          <w:rFonts w:ascii="Garamond" w:hAnsi="Garamond"/>
          <w:sz w:val="26"/>
          <w:szCs w:val="26"/>
        </w:rPr>
        <w:t>, iepriekš tos nofotografējot vai ieskenējot un lejupielādējot datorā</w:t>
      </w:r>
      <w:r w:rsidRPr="00C84005">
        <w:rPr>
          <w:rFonts w:ascii="Garamond" w:hAnsi="Garamond"/>
          <w:sz w:val="26"/>
          <w:szCs w:val="26"/>
        </w:rPr>
        <w:t xml:space="preserve">. </w:t>
      </w:r>
    </w:p>
    <w:p w:rsidR="00C84005" w:rsidRPr="00F16090" w:rsidRDefault="00A75ED3" w:rsidP="00C84005">
      <w:pPr>
        <w:ind w:firstLine="720"/>
        <w:jc w:val="both"/>
        <w:rPr>
          <w:rFonts w:ascii="Garamond" w:hAnsi="Garamond"/>
          <w:b/>
          <w:sz w:val="26"/>
          <w:szCs w:val="26"/>
        </w:rPr>
      </w:pPr>
      <w:r w:rsidRPr="00F16090">
        <w:rPr>
          <w:rFonts w:ascii="Garamond" w:hAnsi="Garamond"/>
          <w:b/>
          <w:sz w:val="26"/>
          <w:szCs w:val="26"/>
        </w:rPr>
        <w:t xml:space="preserve">VID </w:t>
      </w:r>
      <w:proofErr w:type="spellStart"/>
      <w:r w:rsidR="00C84005" w:rsidRPr="00F16090">
        <w:rPr>
          <w:rFonts w:ascii="Garamond" w:hAnsi="Garamond"/>
          <w:b/>
          <w:sz w:val="26"/>
          <w:szCs w:val="26"/>
        </w:rPr>
        <w:t>mājaslapā</w:t>
      </w:r>
      <w:proofErr w:type="spellEnd"/>
      <w:r w:rsidR="00C84005" w:rsidRPr="00F16090">
        <w:rPr>
          <w:rFonts w:ascii="Garamond" w:hAnsi="Garamond"/>
          <w:b/>
          <w:sz w:val="26"/>
          <w:szCs w:val="26"/>
        </w:rPr>
        <w:t xml:space="preserve"> ir pieejama arī īpaši izstrādāta </w:t>
      </w:r>
      <w:hyperlink r:id="rId8" w:history="1">
        <w:r w:rsidR="00C84005" w:rsidRPr="00F16090">
          <w:rPr>
            <w:rStyle w:val="Hipersaite"/>
            <w:rFonts w:ascii="Garamond" w:hAnsi="Garamond"/>
            <w:b/>
            <w:sz w:val="26"/>
            <w:szCs w:val="26"/>
          </w:rPr>
          <w:t>video instrukcija</w:t>
        </w:r>
      </w:hyperlink>
      <w:r w:rsidR="00C84005" w:rsidRPr="00F16090">
        <w:rPr>
          <w:rFonts w:ascii="Garamond" w:hAnsi="Garamond"/>
          <w:b/>
          <w:sz w:val="26"/>
          <w:szCs w:val="26"/>
        </w:rPr>
        <w:t>, kurā soli pa solim izstāstīts, kā iesniegt Gada ienākumu deklarāciju elektroniski.</w:t>
      </w:r>
    </w:p>
    <w:p w:rsidR="00461F39" w:rsidRDefault="0044695E" w:rsidP="00A60A28">
      <w:pPr>
        <w:ind w:firstLine="720"/>
        <w:jc w:val="both"/>
        <w:rPr>
          <w:rFonts w:ascii="Garamond" w:hAnsi="Garamond"/>
          <w:sz w:val="26"/>
          <w:szCs w:val="26"/>
        </w:rPr>
      </w:pPr>
      <w:r>
        <w:rPr>
          <w:rFonts w:ascii="Garamond" w:hAnsi="Garamond"/>
          <w:sz w:val="26"/>
          <w:szCs w:val="26"/>
        </w:rPr>
        <w:t xml:space="preserve">Plašāka informācija </w:t>
      </w:r>
      <w:r w:rsidRPr="00461F39">
        <w:rPr>
          <w:rFonts w:ascii="Garamond" w:hAnsi="Garamond"/>
          <w:b/>
          <w:sz w:val="26"/>
          <w:szCs w:val="26"/>
        </w:rPr>
        <w:t>par</w:t>
      </w:r>
      <w:r>
        <w:rPr>
          <w:rFonts w:ascii="Garamond" w:hAnsi="Garamond"/>
          <w:sz w:val="26"/>
          <w:szCs w:val="26"/>
        </w:rPr>
        <w:t xml:space="preserve"> </w:t>
      </w:r>
      <w:r w:rsidRPr="00461F39">
        <w:rPr>
          <w:rFonts w:ascii="Garamond" w:hAnsi="Garamond"/>
          <w:b/>
          <w:sz w:val="26"/>
          <w:szCs w:val="26"/>
        </w:rPr>
        <w:t xml:space="preserve">Gada ienākumu deklarācijas </w:t>
      </w:r>
      <w:r>
        <w:rPr>
          <w:rFonts w:ascii="Garamond" w:hAnsi="Garamond"/>
          <w:sz w:val="26"/>
          <w:szCs w:val="26"/>
        </w:rPr>
        <w:t xml:space="preserve">iesniegšanu pieejama </w:t>
      </w:r>
      <w:hyperlink r:id="rId9" w:history="1">
        <w:r w:rsidRPr="00F0548C">
          <w:rPr>
            <w:rStyle w:val="Hipersaite"/>
            <w:rFonts w:ascii="Garamond" w:hAnsi="Garamond"/>
            <w:sz w:val="26"/>
            <w:szCs w:val="26"/>
          </w:rPr>
          <w:t>www.vid.gov.lv</w:t>
        </w:r>
      </w:hyperlink>
      <w:r>
        <w:rPr>
          <w:rFonts w:ascii="Garamond" w:hAnsi="Garamond"/>
          <w:sz w:val="26"/>
          <w:szCs w:val="26"/>
        </w:rPr>
        <w:t xml:space="preserve"> sadaļā </w:t>
      </w:r>
      <w:hyperlink r:id="rId10" w:history="1">
        <w:r w:rsidRPr="00213658">
          <w:rPr>
            <w:rStyle w:val="Hipersaite"/>
            <w:rFonts w:ascii="Garamond" w:hAnsi="Garamond"/>
            <w:sz w:val="26"/>
            <w:szCs w:val="26"/>
          </w:rPr>
          <w:t>Gada ienākumu deklarācija</w:t>
        </w:r>
      </w:hyperlink>
      <w:r>
        <w:rPr>
          <w:rStyle w:val="Hipersaite"/>
          <w:rFonts w:ascii="Garamond" w:hAnsi="Garamond"/>
          <w:sz w:val="26"/>
          <w:szCs w:val="26"/>
        </w:rPr>
        <w:t xml:space="preserve">, </w:t>
      </w:r>
      <w:r w:rsidRPr="0044695E">
        <w:rPr>
          <w:rStyle w:val="Hipersaite"/>
          <w:rFonts w:ascii="Garamond" w:hAnsi="Garamond"/>
          <w:color w:val="auto"/>
          <w:sz w:val="26"/>
          <w:szCs w:val="26"/>
          <w:u w:val="none"/>
        </w:rPr>
        <w:t xml:space="preserve">savukārt </w:t>
      </w:r>
      <w:r>
        <w:rPr>
          <w:rFonts w:ascii="Garamond" w:hAnsi="Garamond"/>
          <w:sz w:val="26"/>
          <w:szCs w:val="26"/>
        </w:rPr>
        <w:t xml:space="preserve">plašāka informācija </w:t>
      </w:r>
      <w:r w:rsidRPr="00461F39">
        <w:rPr>
          <w:rFonts w:ascii="Garamond" w:hAnsi="Garamond"/>
          <w:b/>
          <w:sz w:val="26"/>
          <w:szCs w:val="26"/>
        </w:rPr>
        <w:t>par</w:t>
      </w:r>
      <w:r>
        <w:rPr>
          <w:rFonts w:ascii="Garamond" w:hAnsi="Garamond"/>
          <w:sz w:val="26"/>
          <w:szCs w:val="26"/>
        </w:rPr>
        <w:t xml:space="preserve"> </w:t>
      </w:r>
      <w:r w:rsidRPr="00461F39">
        <w:rPr>
          <w:rFonts w:ascii="Garamond" w:hAnsi="Garamond"/>
          <w:b/>
          <w:sz w:val="26"/>
          <w:szCs w:val="26"/>
        </w:rPr>
        <w:t>valsts amatpersonu deklarāciju</w:t>
      </w:r>
      <w:r>
        <w:rPr>
          <w:rFonts w:ascii="Garamond" w:hAnsi="Garamond"/>
          <w:sz w:val="26"/>
          <w:szCs w:val="26"/>
        </w:rPr>
        <w:t xml:space="preserve"> iesniegšanas un aizpildīšanas kārtību pieejama </w:t>
      </w:r>
      <w:hyperlink r:id="rId11" w:history="1">
        <w:r w:rsidRPr="00F0548C">
          <w:rPr>
            <w:rStyle w:val="Hipersaite"/>
            <w:rFonts w:ascii="Garamond" w:hAnsi="Garamond"/>
            <w:sz w:val="26"/>
            <w:szCs w:val="26"/>
          </w:rPr>
          <w:t>www.vid.gov.lv</w:t>
        </w:r>
      </w:hyperlink>
      <w:r>
        <w:rPr>
          <w:rFonts w:ascii="Garamond" w:hAnsi="Garamond"/>
          <w:sz w:val="26"/>
          <w:szCs w:val="26"/>
        </w:rPr>
        <w:t xml:space="preserve"> sadaļās </w:t>
      </w:r>
      <w:hyperlink r:id="rId12" w:history="1">
        <w:r>
          <w:rPr>
            <w:rStyle w:val="Hipersaite"/>
            <w:rFonts w:ascii="Garamond" w:hAnsi="Garamond"/>
            <w:sz w:val="26"/>
            <w:szCs w:val="26"/>
          </w:rPr>
          <w:t xml:space="preserve">Noderīgi/Valsts </w:t>
        </w:r>
        <w:bookmarkStart w:id="0" w:name="_GoBack"/>
        <w:bookmarkEnd w:id="0"/>
        <w:r>
          <w:rPr>
            <w:rStyle w:val="Hipersaite"/>
            <w:rFonts w:ascii="Garamond" w:hAnsi="Garamond"/>
            <w:sz w:val="26"/>
            <w:szCs w:val="26"/>
          </w:rPr>
          <w:t>amatpersonām</w:t>
        </w:r>
      </w:hyperlink>
      <w:r>
        <w:rPr>
          <w:rFonts w:ascii="Garamond" w:hAnsi="Garamond"/>
          <w:sz w:val="26"/>
          <w:szCs w:val="26"/>
        </w:rPr>
        <w:t xml:space="preserve">. </w:t>
      </w:r>
    </w:p>
    <w:p w:rsidR="00A60A28" w:rsidRDefault="00393B39" w:rsidP="00A60A28">
      <w:pPr>
        <w:ind w:firstLine="720"/>
        <w:jc w:val="both"/>
        <w:rPr>
          <w:rFonts w:ascii="Garamond" w:hAnsi="Garamond"/>
          <w:b/>
          <w:bCs/>
          <w:color w:val="000000"/>
          <w:sz w:val="26"/>
          <w:szCs w:val="26"/>
        </w:rPr>
      </w:pPr>
      <w:r>
        <w:rPr>
          <w:rFonts w:ascii="Garamond" w:hAnsi="Garamond"/>
          <w:sz w:val="26"/>
          <w:szCs w:val="26"/>
        </w:rPr>
        <w:t>N</w:t>
      </w:r>
      <w:r w:rsidR="0044695E">
        <w:rPr>
          <w:rFonts w:ascii="Garamond" w:hAnsi="Garamond"/>
          <w:sz w:val="26"/>
          <w:szCs w:val="26"/>
        </w:rPr>
        <w:t xml:space="preserve">eskaidrību gadījumā </w:t>
      </w:r>
      <w:r w:rsidR="00461F39">
        <w:rPr>
          <w:rFonts w:ascii="Garamond" w:hAnsi="Garamond"/>
          <w:sz w:val="26"/>
          <w:szCs w:val="26"/>
        </w:rPr>
        <w:t xml:space="preserve">aicinām </w:t>
      </w:r>
      <w:r w:rsidR="00A60A28">
        <w:rPr>
          <w:rFonts w:ascii="Garamond" w:hAnsi="Garamond"/>
          <w:bCs/>
          <w:color w:val="000000"/>
          <w:sz w:val="26"/>
          <w:szCs w:val="26"/>
        </w:rPr>
        <w:t>zvanīt uz VID Informatīvo tālruni 1898, izvēloties pirmo tēmu „Nodokļi”</w:t>
      </w:r>
      <w:r w:rsidR="0044695E">
        <w:rPr>
          <w:rFonts w:ascii="Garamond" w:hAnsi="Garamond"/>
          <w:bCs/>
          <w:color w:val="000000"/>
          <w:sz w:val="26"/>
          <w:szCs w:val="26"/>
        </w:rPr>
        <w:t>.</w:t>
      </w:r>
    </w:p>
    <w:p w:rsidR="00B97F71" w:rsidRDefault="00B97F71" w:rsidP="00B97F71">
      <w:pPr>
        <w:ind w:firstLine="720"/>
        <w:jc w:val="both"/>
        <w:rPr>
          <w:rFonts w:ascii="Garamond" w:hAnsi="Garamond"/>
          <w:b/>
          <w:sz w:val="26"/>
          <w:szCs w:val="26"/>
        </w:rPr>
      </w:pPr>
    </w:p>
    <w:sectPr w:rsidR="00B97F71" w:rsidSect="00C9191B">
      <w:pgSz w:w="11906" w:h="16838"/>
      <w:pgMar w:top="851"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71"/>
    <w:rsid w:val="00063BE5"/>
    <w:rsid w:val="00213658"/>
    <w:rsid w:val="00243215"/>
    <w:rsid w:val="00245F08"/>
    <w:rsid w:val="00393B39"/>
    <w:rsid w:val="0044695E"/>
    <w:rsid w:val="00461F39"/>
    <w:rsid w:val="005226C7"/>
    <w:rsid w:val="00674B77"/>
    <w:rsid w:val="00831E95"/>
    <w:rsid w:val="008B4B41"/>
    <w:rsid w:val="00A60A28"/>
    <w:rsid w:val="00A75ED3"/>
    <w:rsid w:val="00B97F71"/>
    <w:rsid w:val="00C84005"/>
    <w:rsid w:val="00C9191B"/>
    <w:rsid w:val="00F160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7F71"/>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B97F71"/>
    <w:rPr>
      <w:color w:val="0000FF"/>
      <w:u w:val="single"/>
    </w:rPr>
  </w:style>
  <w:style w:type="character" w:styleId="Izteiksmgs">
    <w:name w:val="Strong"/>
    <w:basedOn w:val="Noklusjumarindkopasfonts"/>
    <w:uiPriority w:val="22"/>
    <w:qFormat/>
    <w:rsid w:val="00B97F71"/>
    <w:rPr>
      <w:b/>
      <w:bCs/>
    </w:rPr>
  </w:style>
  <w:style w:type="paragraph" w:styleId="Pamattekstsaratkpi">
    <w:name w:val="Body Text Indent"/>
    <w:basedOn w:val="Parasts"/>
    <w:link w:val="PamattekstsaratkpiRakstz"/>
    <w:unhideWhenUsed/>
    <w:rsid w:val="00B97F71"/>
    <w:pPr>
      <w:spacing w:after="120"/>
      <w:ind w:left="283"/>
    </w:pPr>
  </w:style>
  <w:style w:type="character" w:customStyle="1" w:styleId="PamattekstsaratkpiRakstz">
    <w:name w:val="Pamatteksts ar atkāpi Rakstz."/>
    <w:basedOn w:val="Noklusjumarindkopasfonts"/>
    <w:link w:val="Pamattekstsaratkpi"/>
    <w:rsid w:val="00B97F71"/>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7F71"/>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B97F71"/>
    <w:rPr>
      <w:color w:val="0000FF"/>
      <w:u w:val="single"/>
    </w:rPr>
  </w:style>
  <w:style w:type="character" w:styleId="Izteiksmgs">
    <w:name w:val="Strong"/>
    <w:basedOn w:val="Noklusjumarindkopasfonts"/>
    <w:uiPriority w:val="22"/>
    <w:qFormat/>
    <w:rsid w:val="00B97F71"/>
    <w:rPr>
      <w:b/>
      <w:bCs/>
    </w:rPr>
  </w:style>
  <w:style w:type="paragraph" w:styleId="Pamattekstsaratkpi">
    <w:name w:val="Body Text Indent"/>
    <w:basedOn w:val="Parasts"/>
    <w:link w:val="PamattekstsaratkpiRakstz"/>
    <w:unhideWhenUsed/>
    <w:rsid w:val="00B97F71"/>
    <w:pPr>
      <w:spacing w:after="120"/>
      <w:ind w:left="283"/>
    </w:pPr>
  </w:style>
  <w:style w:type="character" w:customStyle="1" w:styleId="PamattekstsaratkpiRakstz">
    <w:name w:val="Pamatteksts ar atkāpi Rakstz."/>
    <w:basedOn w:val="Noklusjumarindkopasfonts"/>
    <w:link w:val="Pamattekstsaratkpi"/>
    <w:rsid w:val="00B97F71"/>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47535">
      <w:bodyDiv w:val="1"/>
      <w:marLeft w:val="0"/>
      <w:marRight w:val="0"/>
      <w:marTop w:val="0"/>
      <w:marBottom w:val="0"/>
      <w:divBdr>
        <w:top w:val="none" w:sz="0" w:space="0" w:color="auto"/>
        <w:left w:val="none" w:sz="0" w:space="0" w:color="auto"/>
        <w:bottom w:val="none" w:sz="0" w:space="0" w:color="auto"/>
        <w:right w:val="none" w:sz="0" w:space="0" w:color="auto"/>
      </w:divBdr>
    </w:div>
    <w:div w:id="756436872">
      <w:bodyDiv w:val="1"/>
      <w:marLeft w:val="0"/>
      <w:marRight w:val="0"/>
      <w:marTop w:val="0"/>
      <w:marBottom w:val="0"/>
      <w:divBdr>
        <w:top w:val="none" w:sz="0" w:space="0" w:color="auto"/>
        <w:left w:val="none" w:sz="0" w:space="0" w:color="auto"/>
        <w:bottom w:val="none" w:sz="0" w:space="0" w:color="auto"/>
        <w:right w:val="none" w:sz="0" w:space="0" w:color="auto"/>
      </w:divBdr>
    </w:div>
    <w:div w:id="892621205">
      <w:bodyDiv w:val="1"/>
      <w:marLeft w:val="0"/>
      <w:marRight w:val="0"/>
      <w:marTop w:val="0"/>
      <w:marBottom w:val="0"/>
      <w:divBdr>
        <w:top w:val="none" w:sz="0" w:space="0" w:color="auto"/>
        <w:left w:val="none" w:sz="0" w:space="0" w:color="auto"/>
        <w:bottom w:val="none" w:sz="0" w:space="0" w:color="auto"/>
        <w:right w:val="none" w:sz="0" w:space="0" w:color="auto"/>
      </w:divBdr>
    </w:div>
    <w:div w:id="1085497846">
      <w:bodyDiv w:val="1"/>
      <w:marLeft w:val="0"/>
      <w:marRight w:val="0"/>
      <w:marTop w:val="0"/>
      <w:marBottom w:val="0"/>
      <w:divBdr>
        <w:top w:val="none" w:sz="0" w:space="0" w:color="auto"/>
        <w:left w:val="none" w:sz="0" w:space="0" w:color="auto"/>
        <w:bottom w:val="none" w:sz="0" w:space="0" w:color="auto"/>
        <w:right w:val="none" w:sz="0" w:space="0" w:color="auto"/>
      </w:divBdr>
    </w:div>
    <w:div w:id="16384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gov.lv/default.aspx?tabid=8&amp;id=6613&amp;hl=1&amp;mod=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d.gov.lv/default.aspx?tabid=8&amp;id=396&amp;hl=1" TargetMode="External"/><Relationship Id="rId12" Type="http://schemas.openxmlformats.org/officeDocument/2006/relationships/hyperlink" Target="http://www.vid.gov.lv/default.aspx?tabid=11&amp;id=6537&amp;hl=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d.gov.lv/default.aspx?tabid=12&amp;id=6756&amp;hl=1&amp;mod=33" TargetMode="External"/><Relationship Id="rId11" Type="http://schemas.openxmlformats.org/officeDocument/2006/relationships/hyperlink" Target="http://www.vid.gov.lv" TargetMode="External"/><Relationship Id="rId5" Type="http://schemas.openxmlformats.org/officeDocument/2006/relationships/hyperlink" Target="http://www.vid.gov.lv/default.aspx?tabid=11&amp;id=6053&amp;hl=1&amp;mod=33" TargetMode="External"/><Relationship Id="rId10" Type="http://schemas.openxmlformats.org/officeDocument/2006/relationships/hyperlink" Target="http://www.vid.gov.lv/default.aspx?tabid=8&amp;id=6085&amp;hl=1&amp;mod=33" TargetMode="External"/><Relationship Id="rId4" Type="http://schemas.openxmlformats.org/officeDocument/2006/relationships/webSettings" Target="webSettings.xml"/><Relationship Id="rId9" Type="http://schemas.openxmlformats.org/officeDocument/2006/relationships/hyperlink" Target="http://www.vi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2076</Words>
  <Characters>1184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Teice-Mamaja</dc:creator>
  <cp:lastModifiedBy>user</cp:lastModifiedBy>
  <cp:revision>2</cp:revision>
  <dcterms:created xsi:type="dcterms:W3CDTF">2014-02-17T12:54:00Z</dcterms:created>
  <dcterms:modified xsi:type="dcterms:W3CDTF">2014-02-17T12:54:00Z</dcterms:modified>
</cp:coreProperties>
</file>